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 xml:space="preserve">группах </w:t>
      </w:r>
      <w:proofErr w:type="spellStart"/>
      <w:r w:rsidR="00B8163C" w:rsidRPr="00B8163C">
        <w:rPr>
          <w:rFonts w:eastAsia="Calibri"/>
          <w:sz w:val="28"/>
          <w:szCs w:val="28"/>
        </w:rPr>
        <w:t>МКДОУ</w:t>
      </w:r>
      <w:proofErr w:type="gramStart"/>
      <w:r w:rsidR="00B8163C" w:rsidRPr="00B8163C">
        <w:rPr>
          <w:rFonts w:eastAsia="Calibri"/>
          <w:sz w:val="28"/>
          <w:szCs w:val="28"/>
        </w:rPr>
        <w:t>«А</w:t>
      </w:r>
      <w:proofErr w:type="gramEnd"/>
      <w:r w:rsidR="00B8163C" w:rsidRPr="00B8163C">
        <w:rPr>
          <w:rFonts w:eastAsia="Calibri"/>
          <w:sz w:val="28"/>
          <w:szCs w:val="28"/>
        </w:rPr>
        <w:t>банский</w:t>
      </w:r>
      <w:proofErr w:type="spellEnd"/>
      <w:r w:rsidR="00B8163C" w:rsidRPr="00B8163C">
        <w:rPr>
          <w:rFonts w:eastAsia="Calibri"/>
          <w:sz w:val="28"/>
          <w:szCs w:val="28"/>
        </w:rPr>
        <w:t xml:space="preserve"> детский сад №1 «Росинка»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 xml:space="preserve">среды </w:t>
      </w:r>
      <w:proofErr w:type="spellStart"/>
      <w:r w:rsidR="00B8163C" w:rsidRPr="00B8163C">
        <w:rPr>
          <w:rFonts w:eastAsia="Calibri"/>
          <w:sz w:val="22"/>
          <w:szCs w:val="22"/>
        </w:rPr>
        <w:t>МКДОУ</w:t>
      </w:r>
      <w:proofErr w:type="gramStart"/>
      <w:r w:rsidR="00B8163C" w:rsidRPr="00B8163C">
        <w:rPr>
          <w:rFonts w:eastAsia="Calibri"/>
          <w:sz w:val="22"/>
          <w:szCs w:val="22"/>
        </w:rPr>
        <w:t>«А</w:t>
      </w:r>
      <w:proofErr w:type="gramEnd"/>
      <w:r w:rsidR="00B8163C" w:rsidRPr="00B8163C">
        <w:rPr>
          <w:rFonts w:eastAsia="Calibri"/>
          <w:sz w:val="22"/>
          <w:szCs w:val="22"/>
        </w:rPr>
        <w:t>банский</w:t>
      </w:r>
      <w:proofErr w:type="spellEnd"/>
      <w:r w:rsidR="00B8163C" w:rsidRPr="00B8163C">
        <w:rPr>
          <w:rFonts w:eastAsia="Calibri"/>
          <w:sz w:val="22"/>
          <w:szCs w:val="22"/>
        </w:rPr>
        <w:t xml:space="preserve"> детский сад №1 «Росинка»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B8163C">
        <w:rPr>
          <w:sz w:val="22"/>
          <w:szCs w:val="22"/>
        </w:rPr>
        <w:t>4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="00B8163C">
        <w:rPr>
          <w:sz w:val="22"/>
          <w:szCs w:val="22"/>
        </w:rPr>
        <w:t>ы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B8163C">
        <w:t>кой литературы, фонотек, копилки</w:t>
      </w:r>
      <w:r w:rsidRPr="003D0625">
        <w:t xml:space="preserve"> педагогического опыта коллектива,</w:t>
      </w:r>
      <w:r w:rsidR="00B8163C">
        <w:t xml:space="preserve"> </w:t>
      </w:r>
      <w:r w:rsidRPr="003D0625">
        <w:t>дидактический наглядный и раздаточный материал</w:t>
      </w:r>
      <w:r w:rsidR="00B8163C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B8163C">
        <w:t>тор, экран, музыкальный центр, 3</w:t>
      </w:r>
      <w:r w:rsidRPr="003D0625">
        <w:t xml:space="preserve"> компьютеров, МФУ, принтеры. Имеется единая локальная сеть, в</w:t>
      </w:r>
      <w:r w:rsidR="00B8163C">
        <w:t>се 3</w:t>
      </w:r>
      <w:r w:rsidRPr="003D0625">
        <w:t xml:space="preserve">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Рабочим  программам педагогов. В группах на 80% - 90%  - имеется материал и оборудование по 5 </w:t>
      </w:r>
      <w:proofErr w:type="spellStart"/>
      <w:r w:rsidRPr="003D0625">
        <w:t>направлениямразвития</w:t>
      </w:r>
      <w:proofErr w:type="spellEnd"/>
      <w:r w:rsidRPr="003D0625">
        <w:t xml:space="preserve">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152A65">
      <w:pPr>
        <w:pStyle w:val="a3"/>
        <w:ind w:left="105" w:firstLine="0"/>
        <w:jc w:val="left"/>
        <w:rPr>
          <w:sz w:val="20"/>
        </w:rPr>
      </w:pPr>
      <w:bookmarkStart w:id="0" w:name="_GoBack"/>
      <w:bookmarkEnd w:id="0"/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B8163C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2023-03-14T15:33:00Z</cp:lastPrinted>
  <dcterms:created xsi:type="dcterms:W3CDTF">2023-03-14T15:28:00Z</dcterms:created>
  <dcterms:modified xsi:type="dcterms:W3CDTF">2024-02-09T08:19:00Z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